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1F48" w14:textId="77777777" w:rsidR="00607C1A" w:rsidRDefault="00607C1A" w:rsidP="00607C1A">
      <w:pPr>
        <w:tabs>
          <w:tab w:val="left" w:pos="900"/>
        </w:tabs>
      </w:pPr>
    </w:p>
    <w:p w14:paraId="227E6755" w14:textId="37F8A237" w:rsidR="00F8719B" w:rsidRPr="004B4CEF" w:rsidRDefault="00F8719B" w:rsidP="00F8719B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</w:p>
    <w:p w14:paraId="09C9DCB9" w14:textId="77777777" w:rsidR="00362447" w:rsidRDefault="00362447" w:rsidP="00607C1A">
      <w:pPr>
        <w:tabs>
          <w:tab w:val="left" w:pos="900"/>
        </w:tabs>
      </w:pPr>
    </w:p>
    <w:p w14:paraId="20255490" w14:textId="7B081703"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BC4DA2">
        <w:rPr>
          <w:rFonts w:ascii="Arial" w:hAnsi="Arial" w:cs="Arial"/>
          <w:sz w:val="24"/>
          <w:u w:val="single"/>
        </w:rPr>
        <w:t>Veraguas</w:t>
      </w:r>
      <w:r w:rsidR="00BC4DA2">
        <w:rPr>
          <w:rFonts w:ascii="Arial" w:hAnsi="Arial" w:cs="Arial"/>
          <w:sz w:val="24"/>
        </w:rPr>
        <w:t xml:space="preserve">                                                      Informe</w:t>
      </w:r>
      <w:r w:rsidRPr="000F3389">
        <w:rPr>
          <w:rFonts w:ascii="Arial" w:hAnsi="Arial" w:cs="Arial"/>
          <w:sz w:val="24"/>
        </w:rPr>
        <w:t xml:space="preserve"> Mensual:</w:t>
      </w:r>
      <w:r w:rsidR="006756DD">
        <w:rPr>
          <w:rFonts w:ascii="Arial" w:hAnsi="Arial" w:cs="Arial"/>
          <w:sz w:val="24"/>
          <w:u w:val="single"/>
        </w:rPr>
        <w:t xml:space="preserve"> </w:t>
      </w:r>
      <w:r w:rsidR="00264FB4">
        <w:rPr>
          <w:rFonts w:ascii="Arial" w:hAnsi="Arial" w:cs="Arial"/>
          <w:sz w:val="24"/>
          <w:u w:val="single"/>
        </w:rPr>
        <w:t>agosto</w:t>
      </w:r>
      <w:r w:rsidR="008B4642">
        <w:rPr>
          <w:rFonts w:ascii="Arial" w:hAnsi="Arial" w:cs="Arial"/>
          <w:sz w:val="24"/>
          <w:u w:val="single"/>
        </w:rPr>
        <w:t xml:space="preserve"> 2024</w:t>
      </w:r>
    </w:p>
    <w:p w14:paraId="5329EA5C" w14:textId="77777777" w:rsidR="00607C1A" w:rsidRPr="000F3389" w:rsidRDefault="00362447" w:rsidP="000F3389">
      <w:p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0F3389">
        <w:rPr>
          <w:rFonts w:ascii="Arial" w:hAnsi="Arial" w:cs="Arial"/>
          <w:sz w:val="24"/>
        </w:rPr>
        <w:t xml:space="preserve">Objetivo: Avance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</w:p>
    <w:tbl>
      <w:tblPr>
        <w:tblpPr w:leftFromText="141" w:rightFromText="141" w:vertAnchor="text" w:tblpY="155"/>
        <w:tblW w:w="13143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9"/>
        <w:gridCol w:w="2154"/>
      </w:tblGrid>
      <w:tr w:rsidR="000F3389" w:rsidRPr="002C605C" w14:paraId="4E51D946" w14:textId="77777777" w:rsidTr="008B4642">
        <w:trPr>
          <w:trHeight w:val="267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0A10A14B" w14:textId="23F81EC0" w:rsidR="000F3389" w:rsidRPr="002C605C" w:rsidRDefault="000E4F8D" w:rsidP="000E4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Tareas P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rincipales </w:t>
            </w:r>
            <w:r w:rsidR="00DC2407"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3B0873DE" w14:textId="77777777" w:rsidR="000F3389" w:rsidRPr="002C605C" w:rsidRDefault="000F3389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 w:rsidRPr="002C605C">
              <w:rPr>
                <w:rFonts w:ascii="Arial" w:eastAsia="Times New Roman" w:hAnsi="Arial" w:cs="Arial"/>
                <w:color w:val="363636"/>
                <w:sz w:val="24"/>
                <w:szCs w:val="16"/>
                <w:shd w:val="clear" w:color="auto" w:fill="DFE3E8"/>
                <w:lang w:eastAsia="es-PA"/>
              </w:rPr>
              <w:t>Porcentaje de avance</w:t>
            </w:r>
          </w:p>
        </w:tc>
      </w:tr>
      <w:tr w:rsidR="000F3389" w:rsidRPr="002C605C" w14:paraId="41804DFE" w14:textId="77777777" w:rsidTr="008B4642">
        <w:trPr>
          <w:trHeight w:val="340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509332A" w14:textId="2D3C7ED9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Planificación del Proceso Electoral Regional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CFC98D7" w14:textId="42B50E50" w:rsidR="000F3389" w:rsidRPr="002C605C" w:rsidRDefault="00391E3E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02A85A" w14:textId="77777777" w:rsidTr="008B4642">
        <w:trPr>
          <w:trHeight w:val="291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3CD399" w14:textId="4BBE8024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anejo presupuestario Regional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28E9BFB" w14:textId="3EFA24B9" w:rsidR="000F3389" w:rsidRPr="002C605C" w:rsidRDefault="00264FB4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</w:t>
            </w:r>
            <w:r w:rsidR="00391E3E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5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9D5B96D" w14:textId="77777777" w:rsidTr="008B4642">
        <w:trPr>
          <w:trHeight w:val="295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5015912" w14:textId="6646B28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Cartografía Electoral.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FC2A8E2" w14:textId="2A32CBC6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97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60201AA" w14:textId="77777777" w:rsidTr="008B4642">
        <w:trPr>
          <w:trHeight w:val="299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7373D79" w14:textId="2A4E82C3" w:rsidR="000F3389" w:rsidRPr="002C605C" w:rsidRDefault="0021786F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Registro Electoral 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D3E319C" w14:textId="5BD0FCA4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99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426EDA" w:rsidRPr="002C605C" w14:paraId="3DCE496B" w14:textId="77777777" w:rsidTr="008B4642">
        <w:trPr>
          <w:trHeight w:val="299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606C859" w14:textId="5140DBCD" w:rsidR="00426EDA" w:rsidRPr="002C605C" w:rsidRDefault="0021786F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Logística para la identificación ciudadana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D40E641" w14:textId="6B27CDFD" w:rsidR="00426EDA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98</w:t>
            </w:r>
            <w:r w:rsidR="00363B3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46F6217" w14:textId="77777777" w:rsidTr="008B4642">
        <w:trPr>
          <w:trHeight w:val="230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E366D0" w14:textId="5A37DCBB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Impugnación al Padrón Electoral.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07EC0458" w14:textId="316BC836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27F57D9F" w14:textId="77777777" w:rsidTr="008B4642">
        <w:trPr>
          <w:trHeight w:val="254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012AFB9" w14:textId="5290B7F3" w:rsidR="000F3389" w:rsidRPr="002C605C" w:rsidRDefault="00C235FB" w:rsidP="00C23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decuación de la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nfraestructura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lectoral.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7EC1BDC" w14:textId="1667F927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 xml:space="preserve">100 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D7BC850" w14:textId="77777777" w:rsidTr="008B4642">
        <w:trPr>
          <w:trHeight w:val="312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E1072B" w14:textId="4A0DE75F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Postulación e Impugnación de Candidatos.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6DCBE42" w14:textId="18BB7124" w:rsidR="000F3389" w:rsidRPr="002C605C" w:rsidRDefault="00391E3E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99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1B922DA" w14:textId="77777777" w:rsidTr="008B4642">
        <w:trPr>
          <w:trHeight w:val="294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0C072D7" w14:textId="1272019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Educación Electoral (Reclutamiento y Capacitación).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2026A69" w14:textId="3ADF78E1" w:rsidR="000F3389" w:rsidRPr="002C605C" w:rsidRDefault="00391E3E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96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C7500EC" w14:textId="77777777" w:rsidTr="008B4642">
        <w:trPr>
          <w:trHeight w:val="298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67ABD78" w14:textId="228882F8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onformación de las mesas de votación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DC367E1" w14:textId="19A78F03" w:rsidR="000F3389" w:rsidRPr="002C605C" w:rsidRDefault="00264FB4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96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470FF653" w14:textId="77777777" w:rsidTr="008B4642">
        <w:trPr>
          <w:trHeight w:val="326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FB143EF" w14:textId="6A152547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Movilización y Traslado del proceso Electoral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E881EBB" w14:textId="014E7E2A" w:rsidR="000F3389" w:rsidRPr="002C605C" w:rsidRDefault="00264FB4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94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DA235C1" w14:textId="77777777" w:rsidTr="008B4642">
        <w:trPr>
          <w:trHeight w:val="316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A69BADF" w14:textId="1E29B172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21786F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raslado de Corporaciones Electorales 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5532EC5B" w14:textId="310DC7ED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375E4C" w:rsidRPr="002C605C" w14:paraId="49D8DFA7" w14:textId="77777777" w:rsidTr="008B4642">
        <w:trPr>
          <w:trHeight w:val="326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F4E6A8" w14:textId="0C142F56" w:rsidR="00375E4C" w:rsidRPr="002C605C" w:rsidRDefault="00375E4C" w:rsidP="00375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ado de Material Sensitivo y General  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3841A80D" w14:textId="62D6AD66" w:rsidR="00375E4C" w:rsidRPr="00375E4C" w:rsidRDefault="00264FB4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93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375E4C" w:rsidRPr="002C605C" w14:paraId="0848406D" w14:textId="77777777" w:rsidTr="008B4642">
        <w:trPr>
          <w:trHeight w:val="157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008D6D9" w14:textId="64ED3119" w:rsidR="00375E4C" w:rsidRPr="002C605C" w:rsidRDefault="00375E4C" w:rsidP="00375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actas y TER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0E26F9C2" w14:textId="2B25BE60" w:rsidR="00375E4C" w:rsidRPr="00375E4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375E4C" w:rsidRPr="002C605C" w14:paraId="6583E12A" w14:textId="77777777" w:rsidTr="008B4642">
        <w:trPr>
          <w:trHeight w:val="316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6DC4ADF" w14:textId="7B2751C7" w:rsidR="00375E4C" w:rsidRPr="002C605C" w:rsidRDefault="00375E4C" w:rsidP="00375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Seguridad para los centros de votación 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5C312C78" w14:textId="7BA33E05" w:rsidR="00375E4C" w:rsidRPr="00375E4C" w:rsidRDefault="00264FB4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98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75D559" w14:textId="77777777" w:rsidTr="008B4642">
        <w:trPr>
          <w:trHeight w:val="157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6205D7" w14:textId="08E52746" w:rsidR="000F3389" w:rsidRPr="002C605C" w:rsidRDefault="0021786F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1786F">
              <w:rPr>
                <w:rFonts w:ascii="Arial" w:eastAsia="Times New Roman" w:hAnsi="Arial" w:cs="Arial"/>
                <w:sz w:val="20"/>
                <w:szCs w:val="24"/>
                <w:lang w:eastAsia="es-PA"/>
              </w:rPr>
              <w:t xml:space="preserve">Emisión del sufragio (Voto en Centros Penitenciarios, Voto en Centros de atención al Adulto mayor y Hospitales- REVA)  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E86CD11" w14:textId="747459A2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99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6F4175" w:rsidRPr="002C605C" w14:paraId="534164CB" w14:textId="77777777" w:rsidTr="008B4642">
        <w:trPr>
          <w:trHeight w:val="157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F4E28CA" w14:textId="6DCA35DB" w:rsidR="006F4175" w:rsidRDefault="0021786F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Observación Electoral 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47FBB4E" w14:textId="2C13E8A6" w:rsidR="006F4175" w:rsidRPr="002C605C" w:rsidRDefault="00264FB4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363B3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98D4C85" w14:textId="77777777" w:rsidTr="008B4642">
        <w:trPr>
          <w:trHeight w:val="264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7869ECF" w14:textId="6578683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Transmisión de Resultados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2873F1F" w14:textId="1DC653C9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99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8283BC9" w14:textId="77777777" w:rsidTr="008B4642">
        <w:trPr>
          <w:trHeight w:val="199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CBD765C" w14:textId="71C3758A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Recuento de Votos y Declaración de R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esultados ( Juntas de Escrutinios)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B72A4C7" w14:textId="6AEC7DCE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5CCE095" w14:textId="77777777" w:rsidTr="008B4642">
        <w:trPr>
          <w:trHeight w:val="316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A8A7185" w14:textId="1D1CA9F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Recepción de Documentos Electorales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C3203EA" w14:textId="6FB88F8D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</w:tbl>
    <w:p w14:paraId="05E9CA49" w14:textId="42964F0C" w:rsidR="00CD39F8" w:rsidRDefault="00F35060" w:rsidP="00586008">
      <w:pPr>
        <w:rPr>
          <w:rFonts w:ascii="Arial" w:hAnsi="Arial" w:cs="Arial"/>
          <w:b/>
          <w:sz w:val="18"/>
          <w:szCs w:val="18"/>
        </w:rPr>
      </w:pPr>
      <w:r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>
        <w:rPr>
          <w:b/>
          <w:u w:val="single"/>
        </w:rPr>
        <w:t xml:space="preserve">ervidor </w:t>
      </w:r>
      <w:hyperlink r:id="rId7" w:history="1">
        <w:r w:rsidRPr="00F37024"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</w:t>
      </w:r>
      <w:r w:rsidR="00CD39F8">
        <w:rPr>
          <w:b/>
          <w:u w:val="single"/>
        </w:rPr>
        <w:t>Project.</w:t>
      </w:r>
    </w:p>
    <w:p w14:paraId="29EF8DCD" w14:textId="767F8E54" w:rsidR="002204AC" w:rsidRPr="00CD39F8" w:rsidRDefault="00CD39F8" w:rsidP="005860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CD39F8">
        <w:rPr>
          <w:rFonts w:ascii="Arial" w:hAnsi="Arial" w:cs="Arial"/>
          <w:b/>
          <w:sz w:val="18"/>
          <w:szCs w:val="18"/>
        </w:rPr>
        <w:t xml:space="preserve">Responsable: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54CC6" w:rsidRPr="006A3668">
        <w:rPr>
          <w:rFonts w:ascii="Arial" w:hAnsi="Arial" w:cs="Arial"/>
          <w:b/>
          <w:sz w:val="18"/>
          <w:szCs w:val="18"/>
        </w:rPr>
        <w:t>Prof</w:t>
      </w:r>
      <w:r w:rsidR="00054CC6">
        <w:rPr>
          <w:rFonts w:ascii="Arial" w:hAnsi="Arial" w:cs="Arial"/>
          <w:b/>
          <w:sz w:val="18"/>
          <w:szCs w:val="18"/>
        </w:rPr>
        <w:t>a.</w:t>
      </w:r>
      <w:r w:rsidR="00525B0A" w:rsidRPr="006A3668">
        <w:rPr>
          <w:rFonts w:ascii="Arial" w:hAnsi="Arial" w:cs="Arial"/>
          <w:b/>
          <w:sz w:val="18"/>
          <w:szCs w:val="18"/>
        </w:rPr>
        <w:t xml:space="preserve"> Marta Vallarino de Barria </w:t>
      </w:r>
      <w:r w:rsidR="00525B0A" w:rsidRPr="00CD39F8">
        <w:rPr>
          <w:rFonts w:ascii="Arial" w:hAnsi="Arial" w:cs="Arial"/>
          <w:b/>
          <w:sz w:val="18"/>
          <w:szCs w:val="18"/>
        </w:rPr>
        <w:t xml:space="preserve">Corresponsable: Jennsy Sanjur </w:t>
      </w:r>
      <w:bookmarkStart w:id="0" w:name="_GoBack"/>
      <w:bookmarkEnd w:id="0"/>
    </w:p>
    <w:sectPr w:rsidR="002204AC" w:rsidRPr="00CD39F8" w:rsidSect="005375A4">
      <w:footerReference w:type="default" r:id="rId8"/>
      <w:pgSz w:w="15840" w:h="12240" w:orient="landscape" w:code="1"/>
      <w:pgMar w:top="284" w:right="956" w:bottom="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F6644" w14:textId="77777777" w:rsidR="00112233" w:rsidRDefault="00112233" w:rsidP="000F3389">
      <w:pPr>
        <w:spacing w:after="0" w:line="240" w:lineRule="auto"/>
      </w:pPr>
      <w:r>
        <w:separator/>
      </w:r>
    </w:p>
  </w:endnote>
  <w:endnote w:type="continuationSeparator" w:id="0">
    <w:p w14:paraId="1A97AAD8" w14:textId="77777777" w:rsidR="00112233" w:rsidRDefault="00112233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595F" w14:textId="77777777" w:rsidR="000F3389" w:rsidRDefault="000F33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3740D" w14:textId="77777777" w:rsidR="00112233" w:rsidRDefault="00112233" w:rsidP="000F3389">
      <w:pPr>
        <w:spacing w:after="0" w:line="240" w:lineRule="auto"/>
      </w:pPr>
      <w:r>
        <w:separator/>
      </w:r>
    </w:p>
  </w:footnote>
  <w:footnote w:type="continuationSeparator" w:id="0">
    <w:p w14:paraId="3CDB6F97" w14:textId="77777777" w:rsidR="00112233" w:rsidRDefault="00112233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2"/>
    <w:rsid w:val="00036B83"/>
    <w:rsid w:val="00054CC6"/>
    <w:rsid w:val="00086BD8"/>
    <w:rsid w:val="00096752"/>
    <w:rsid w:val="000E4F8D"/>
    <w:rsid w:val="000F3389"/>
    <w:rsid w:val="000F3782"/>
    <w:rsid w:val="00101E64"/>
    <w:rsid w:val="00112233"/>
    <w:rsid w:val="001D321A"/>
    <w:rsid w:val="001D6575"/>
    <w:rsid w:val="0021786F"/>
    <w:rsid w:val="002204AC"/>
    <w:rsid w:val="002279FC"/>
    <w:rsid w:val="00264FB4"/>
    <w:rsid w:val="002C605C"/>
    <w:rsid w:val="0033000A"/>
    <w:rsid w:val="00362447"/>
    <w:rsid w:val="00363B3D"/>
    <w:rsid w:val="00374E05"/>
    <w:rsid w:val="00375E4C"/>
    <w:rsid w:val="00391471"/>
    <w:rsid w:val="00391E3E"/>
    <w:rsid w:val="003B6300"/>
    <w:rsid w:val="003D763A"/>
    <w:rsid w:val="00426EDA"/>
    <w:rsid w:val="00487B82"/>
    <w:rsid w:val="004D1957"/>
    <w:rsid w:val="005007F0"/>
    <w:rsid w:val="00525B0A"/>
    <w:rsid w:val="005375A4"/>
    <w:rsid w:val="00581FCB"/>
    <w:rsid w:val="00586008"/>
    <w:rsid w:val="005F0E5A"/>
    <w:rsid w:val="00607C1A"/>
    <w:rsid w:val="00667512"/>
    <w:rsid w:val="006756DD"/>
    <w:rsid w:val="006A065A"/>
    <w:rsid w:val="006A3668"/>
    <w:rsid w:val="006A63DB"/>
    <w:rsid w:val="006B00C5"/>
    <w:rsid w:val="006C71B5"/>
    <w:rsid w:val="006F4175"/>
    <w:rsid w:val="007C2C3E"/>
    <w:rsid w:val="008126DF"/>
    <w:rsid w:val="0082734A"/>
    <w:rsid w:val="00846129"/>
    <w:rsid w:val="008723EF"/>
    <w:rsid w:val="008944A4"/>
    <w:rsid w:val="00894C47"/>
    <w:rsid w:val="008B4642"/>
    <w:rsid w:val="008F2B56"/>
    <w:rsid w:val="009339B0"/>
    <w:rsid w:val="00941FC1"/>
    <w:rsid w:val="009C1D27"/>
    <w:rsid w:val="00A33D03"/>
    <w:rsid w:val="00A829C0"/>
    <w:rsid w:val="00A83F4B"/>
    <w:rsid w:val="00AD6807"/>
    <w:rsid w:val="00AF6CAC"/>
    <w:rsid w:val="00B0658F"/>
    <w:rsid w:val="00BC1864"/>
    <w:rsid w:val="00BC4DA2"/>
    <w:rsid w:val="00BD02BB"/>
    <w:rsid w:val="00BE0DB6"/>
    <w:rsid w:val="00C235FB"/>
    <w:rsid w:val="00C27B5C"/>
    <w:rsid w:val="00C44D1C"/>
    <w:rsid w:val="00CD39F8"/>
    <w:rsid w:val="00CF78C5"/>
    <w:rsid w:val="00D044DC"/>
    <w:rsid w:val="00D450FE"/>
    <w:rsid w:val="00DC2407"/>
    <w:rsid w:val="00DF7908"/>
    <w:rsid w:val="00E530AC"/>
    <w:rsid w:val="00EF06E3"/>
    <w:rsid w:val="00F35060"/>
    <w:rsid w:val="00F41940"/>
    <w:rsid w:val="00F862E3"/>
    <w:rsid w:val="00F8719B"/>
    <w:rsid w:val="00FB1612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9330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te-plagel-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D2BD-73C4-4D72-B0C9-63B55552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Sanjur, Jennsy</cp:lastModifiedBy>
  <cp:revision>31</cp:revision>
  <cp:lastPrinted>2023-06-07T23:13:00Z</cp:lastPrinted>
  <dcterms:created xsi:type="dcterms:W3CDTF">2023-07-07T17:24:00Z</dcterms:created>
  <dcterms:modified xsi:type="dcterms:W3CDTF">2024-08-30T20:28:00Z</dcterms:modified>
</cp:coreProperties>
</file>